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706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6" w:line="360" w:lineRule="auto"/>
        <w:ind w:left="46"/>
        <w:textAlignment w:val="auto"/>
        <w:rPr>
          <w:rFonts w:hint="eastAsia" w:ascii="黑体" w:hAnsi="黑体" w:eastAsia="黑体" w:cs="黑体"/>
          <w:spacing w:val="0"/>
          <w:sz w:val="32"/>
          <w:szCs w:val="32"/>
        </w:rPr>
      </w:pPr>
      <w:r>
        <w:rPr>
          <w:rFonts w:hint="eastAsia" w:ascii="黑体" w:hAnsi="黑体" w:eastAsia="黑体" w:cs="黑体"/>
          <w:spacing w:val="0"/>
          <w:sz w:val="32"/>
          <w:szCs w:val="32"/>
        </w:rPr>
        <w:t>附件1</w:t>
      </w:r>
    </w:p>
    <w:p w14:paraId="7DE1DE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spacing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0"/>
          <w:sz w:val="44"/>
          <w:szCs w:val="44"/>
        </w:rPr>
        <w:t>四川省科教兴川促进会专业技术人才</w:t>
      </w:r>
    </w:p>
    <w:p w14:paraId="3D5E22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spacing w:val="0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0"/>
          <w:sz w:val="44"/>
          <w:szCs w:val="44"/>
        </w:rPr>
        <w:t>水平评价与等级评定管理办法</w:t>
      </w:r>
    </w:p>
    <w:p w14:paraId="6AA2E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为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进一步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规范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行业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专业技术人才水平评价工作，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积极构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建市场化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人才培育与技术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人才能力评价体系，助力非公有制经济组织、社会组织及新兴业态领域人才发展，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促进“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科教兴川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和“人才强省”深化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战略实施，参照行业成熟实践，结合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促进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会工作实际，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通过促进会组织专家团队深入研究</w:t>
      </w:r>
      <w:r>
        <w:rPr>
          <w:rFonts w:hint="eastAsia" w:ascii="仿宋" w:hAnsi="仿宋" w:eastAsia="仿宋" w:cs="仿宋"/>
          <w:spacing w:val="0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特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制定本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管理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办法。</w:t>
      </w:r>
    </w:p>
    <w:p w14:paraId="7740A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一、总则</w:t>
      </w:r>
    </w:p>
    <w:p w14:paraId="0C1C6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（一）评价目的。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围绕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科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学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教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育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、建设工程、水利电力工程、交通工程、节能减排与资源综合利用、机械工程、能源电力工程、电子信息工程、安全技术防范工程、信息与通信工程、大数据与人工智能、工商管理、农业经济、人力资源管理、知识产权等领域发展需求，开展专业技术人才水平评价，客观反映参评人员的专业技术能力、工作业绩和职业素养，为会员单位、相关企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事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业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提供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专业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人才能力参考依据，搭建人才成长通道，推动行业人才队伍建设。</w:t>
      </w:r>
    </w:p>
    <w:p w14:paraId="37257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（二）评价性质。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本办法所指专业技术人才水平评价，是四川省科教兴川促进会（以下简称“促进会”）自主开展的市场化人才能力认定工作，不属于国家行政许可范畴，不等同于人社部门官方职称、国家职业资格或准入类证书，仅作为持证人专业技术水平的行业参考证明。</w:t>
      </w:r>
    </w:p>
    <w:p w14:paraId="3C00B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（三）适用范围。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凡自愿加入促进会成为个人会员或单位会员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，在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符合国家有关规定举办的非公有制经济组织、社会组织及新兴业态中从业，具备相应专业技术能力，符合本办法申报条件的专业技术人员，均可申请参加评价。评价行业涵盖：机械、电气、信息电子、人工智能、建筑、地矿冶炼、化工、轻工、生物医药、能源、材料、交通、环保、安全、技术管理、涉农工程、科教服务及其他新兴领域。</w:t>
      </w:r>
    </w:p>
    <w:p w14:paraId="6F615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（四）工作原则。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坚持“自愿申报、公平公正、公开透明、专家评审、动态管理”的原则，严格规范评价流程，强化监督管理，确保评价结果的客观性、公信力。</w:t>
      </w:r>
    </w:p>
    <w:p w14:paraId="222C3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二、组织架构与职责</w:t>
      </w:r>
    </w:p>
    <w:p w14:paraId="3EE10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（一）成立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技术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人才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水平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评价工作领导小组。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统筹推进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技术人才水平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评价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与等级评定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工作的组织领导、工作协调、政策制定、最终审定等工作。领导小组下设办公室，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具体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负责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技术人才水平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评价工作材料受理、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资格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审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查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组织专家评价、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公示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证书印制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及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发放等日常工作。</w:t>
      </w:r>
    </w:p>
    <w:p w14:paraId="613C3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（二）成立专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家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评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组。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根据评价工作需要，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领导小组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下设若干专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家评价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组，每组由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</w:rPr>
        <w:t>3-5名相关领域专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家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学者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组成，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具体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负责对本专业参评人员进行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专业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价并形成评价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意见，报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领导小组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审议。</w:t>
      </w:r>
    </w:p>
    <w:p w14:paraId="290C8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三、评价等级与申报条件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专业能力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业绩成果</w:t>
      </w:r>
    </w:p>
    <w:p w14:paraId="03132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（一）评价等级</w:t>
      </w:r>
    </w:p>
    <w:p w14:paraId="2C527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专业技术人才水平评价分为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个等级，从低到高依次为：初级专业技术人才水平、中级专业技术人才水平、高级专业技术人才水平，对应发放相应等级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《专业技术人才水平证书》。</w:t>
      </w:r>
    </w:p>
    <w:p w14:paraId="540ED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（二）基本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要求</w:t>
      </w:r>
    </w:p>
    <w:p w14:paraId="44BD4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1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、拥护中国共产党的领导，热爱祖国，遵守中华人民共和国宪法和法律法规。</w:t>
      </w:r>
    </w:p>
    <w:p w14:paraId="68F2F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具有良好的职业道德、敬业精神，作风端正，诚实守信。坚持德才兼备、以德为先。</w:t>
      </w:r>
    </w:p>
    <w:p w14:paraId="57114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遵守单位规章制度和生产操作规程，热爱本职工作，认真履行岗位职责，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eastAsia="zh-CN"/>
        </w:rPr>
        <w:t>申报前规定任职年限年度考核结果均为称职（合格）以上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。未建立考核机制的民营企业，由专业技术人员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申报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单位提供履职情况书面说明。</w:t>
      </w:r>
    </w:p>
    <w:p w14:paraId="78AE0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申报人员须对所提交的全部材料真实性负责，在申报评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阶段发现学历、资历、业绩等弄虚作假，或剽窃他人论文、技术成果等失信行为，实行“一票否决”，取消评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资格，失信人将被记入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促进会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诚信档案，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年内不得申报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评价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。</w:t>
      </w:r>
    </w:p>
    <w:p w14:paraId="6DD3A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（三）申报条件</w:t>
      </w:r>
    </w:p>
    <w:p w14:paraId="69395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1、申报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初级专业技术人才水平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评价必须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符合下列条件之一：</w:t>
      </w:r>
    </w:p>
    <w:p w14:paraId="183BA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具备大学本科学历或学士学位；</w:t>
      </w:r>
    </w:p>
    <w:p w14:paraId="7FFA0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具备大学专科、中等职业学校毕业学历，在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技术岗位上见习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年期满，经考察合格；</w:t>
      </w:r>
    </w:p>
    <w:p w14:paraId="6700B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技工院校全日制预备技师（技师）、高级工班、中级工班毕业，在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技术技能岗位上见习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年期满，经考察合格。</w:t>
      </w:r>
    </w:p>
    <w:p w14:paraId="0A1783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2、申报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中级专业技术人才水平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评价必须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符合下列条件之一：</w:t>
      </w:r>
    </w:p>
    <w:p w14:paraId="6ABF5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具备硕士学位或第二学士学位；</w:t>
      </w:r>
    </w:p>
    <w:p w14:paraId="7FABC8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②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具备大学本科学历或学士学位，在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技术岗位见习1年期满，经考察合格；</w:t>
      </w:r>
    </w:p>
    <w:p w14:paraId="50A1F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③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具备大学专科学历，从事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技术工作满2年；</w:t>
      </w:r>
    </w:p>
    <w:p w14:paraId="3C7D7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④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具备中等职业学校毕业学历，从事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工作满4年；</w:t>
      </w:r>
    </w:p>
    <w:p w14:paraId="1E33D3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3、申报高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级专业技术人才水平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评价必须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符合下列条件之一：</w:t>
      </w:r>
    </w:p>
    <w:p w14:paraId="3F8FB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具备博士学位；</w:t>
      </w:r>
    </w:p>
    <w:p w14:paraId="71404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具备硕士学位或第二学士学位，从事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技术工作满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年；</w:t>
      </w:r>
    </w:p>
    <w:p w14:paraId="110AE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具备大学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本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科学历，从事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技术工作满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年；</w:t>
      </w:r>
    </w:p>
    <w:p w14:paraId="13CCA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④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具备大学专科学历，从事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color w:val="auto"/>
          <w:spacing w:val="0"/>
          <w:sz w:val="32"/>
          <w:szCs w:val="32"/>
          <w:highlight w:val="none"/>
        </w:rPr>
        <w:t>技术工作满4年；</w:t>
      </w:r>
    </w:p>
    <w:p w14:paraId="2A4FD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⑤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技工院校全日制预备技师（技师）毕业，从事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技术技能工作满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年；</w:t>
      </w:r>
    </w:p>
    <w:p w14:paraId="173F8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⑥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技工院校全日制高级工班毕业，从事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技术技能工作满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年;</w:t>
      </w:r>
    </w:p>
    <w:p w14:paraId="27150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（四）专业能力</w:t>
      </w:r>
    </w:p>
    <w:p w14:paraId="0249C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初级专业技术人才水平</w:t>
      </w:r>
    </w:p>
    <w:p w14:paraId="46C3F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熟悉本专业基础理论知识和专业技术知识。</w:t>
      </w:r>
    </w:p>
    <w:p w14:paraId="2797D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②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基本掌握本专业技术（操作）标准、规范、规程。</w:t>
      </w:r>
    </w:p>
    <w:p w14:paraId="156B56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具有完成一般技术辅助性工作的实际能力。</w:t>
      </w:r>
    </w:p>
    <w:p w14:paraId="55EC5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2、中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级专业技术人才水平</w:t>
      </w:r>
    </w:p>
    <w:p w14:paraId="4346D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掌握本专业基础理论知识和专业技术知识。</w:t>
      </w:r>
    </w:p>
    <w:p w14:paraId="0ADA1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②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掌握本专业技术（操作）标准、规范、规程。</w:t>
      </w:r>
    </w:p>
    <w:p w14:paraId="5E54A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具有独立完成一般性技术工作的实际能力，能处理本专业范围内一般性技术难题；具备一定的技术分析、判断、总结能力，能够撰写技术报告。</w:t>
      </w:r>
    </w:p>
    <w:p w14:paraId="0418C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④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能够指导初级专业技术人才工作。</w:t>
      </w:r>
    </w:p>
    <w:p w14:paraId="6B3D17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3、高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级专业技术人才水平</w:t>
      </w:r>
    </w:p>
    <w:p w14:paraId="546599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熟练掌握并能够灵活运用本专业基础理论知识和专业技术知识；熟悉有关法律、法规和政策；掌握本专业技术（操作）标准、规范、规程；了解本专业新技术、新工艺、新设备、新材料的现状和发展趋势。</w:t>
      </w:r>
    </w:p>
    <w:p w14:paraId="371CF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②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具有独立承担较复杂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项目、解决本专业范围内较复杂技术问题的能力；具备一定的技术研究、分析、判断、综合、总结能力，能够撰写解决较复杂技术问题的研究成果或技术报告。</w:t>
      </w:r>
    </w:p>
    <w:p w14:paraId="34BAF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能够指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级专业技术人才工作和传技带徒。</w:t>
      </w:r>
    </w:p>
    <w:p w14:paraId="74F2E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（五）业绩成果</w:t>
      </w:r>
    </w:p>
    <w:p w14:paraId="160C1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初级专业技术人才水平</w:t>
      </w:r>
    </w:p>
    <w:p w14:paraId="4F6BC5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参与完成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专业技术工作，具有相应的专业技术业绩。</w:t>
      </w:r>
    </w:p>
    <w:p w14:paraId="639AC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2、中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级专业技术人才水平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业绩、成果符合下列条件之一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：</w:t>
      </w:r>
    </w:p>
    <w:p w14:paraId="391937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参与完成1项市（厅）级科研项目或2项县级科研项目。</w:t>
      </w:r>
    </w:p>
    <w:p w14:paraId="06355C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参与完成1项大型，或2项中型，或4项小型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项目。</w:t>
      </w:r>
    </w:p>
    <w:p w14:paraId="209577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获得与本专业技术相关的1项实用新型专利，并已取得了较高的经济和社会效益。</w:t>
      </w:r>
    </w:p>
    <w:p w14:paraId="29C05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④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参与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政策研究、技术咨询和管理服务工作，在为政府部门提供决策参考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组织科学管理、强化服务保障等方面业绩贡献突出，提出的意见建议被县级以上政府部门正式出台的1个以上政策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性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文件采用。</w:t>
      </w:r>
    </w:p>
    <w:p w14:paraId="43B80D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⑤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任现职期间，具有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篇以上由本人撰写、与申报专业一致、代表自身专业理论和技术水平的技术报告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技术水平的论文、课题研究报告、施工或调试报告、规划设计方案、案例分析报告等技术成果。</w:t>
      </w:r>
    </w:p>
    <w:p w14:paraId="777357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3、高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级专业技术人才水平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业绩、成果符合下列条件之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：</w:t>
      </w:r>
    </w:p>
    <w:p w14:paraId="671AFB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①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作为主要参与人完成1项省（部）级科研项目或2项市（厅）级科研项目。</w:t>
      </w:r>
    </w:p>
    <w:p w14:paraId="2C0787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作为主要参与人完成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项大型，或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项中型，或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项小型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  <w:highlight w:val="none"/>
        </w:rPr>
        <w:t>项目。</w:t>
      </w:r>
    </w:p>
    <w:p w14:paraId="6A5D36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③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获得与本专业技术相关的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项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发明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专利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或2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项实用新型专利，并已取得了较高的经济和社会效益。</w:t>
      </w:r>
    </w:p>
    <w:p w14:paraId="32E4D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④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主持或承担研制开发具有较高水平的新技术、新工艺、新设备、新材料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项以上，并已推广应用；或推广应用具有较高水平的新技术、新工艺、新设备、新材料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项以上。</w:t>
      </w:r>
    </w:p>
    <w:p w14:paraId="353C1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⑤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从事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政策研究、技术咨询和管理服务工作，为政府部门提供决策参考、组织科学管理、强化服务保障等方面业绩贡献特别突出，提出的意见建议被市级以上政府部门正式出台的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个以上政策文件采纳采用。</w:t>
      </w:r>
    </w:p>
    <w:p w14:paraId="74709C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⑥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任现职期间，具有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篇以上由本人撰写、与申报专业一致、代表自身专业理论和技术水平的技术报告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或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技术水平的论文、课题研究报告、施工或调试报告、规划设计方案、案例分析报告等技术成果。</w:t>
      </w:r>
    </w:p>
    <w:p w14:paraId="55AD97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破格申报条件</w:t>
      </w:r>
    </w:p>
    <w:p w14:paraId="73F045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spacing w:val="0"/>
          <w:sz w:val="32"/>
          <w:szCs w:val="32"/>
        </w:rPr>
        <w:t>对于确有真才实学、创新能力强、业绩显著、贡献突出的人员，可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适当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放宽学历、资历等限制，破格申报相应等级评价。破格申报需由2名本专业或相近专业、具备相应高级及以上专业技术水平的人员推荐，并提交符合破格条件的证明材料（如获奖证书、技术成果证明、经济效益证明等），经专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家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组审核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领导小组审定后，方可参与评价。</w:t>
      </w:r>
    </w:p>
    <w:p w14:paraId="3B9D4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四、评价流程</w:t>
      </w:r>
    </w:p>
    <w:p w14:paraId="0311D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个人申报：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符合申报条件的人员，由个人提出申请，经所在单位同意后，向领导小组办公室提交申报材料。</w:t>
      </w:r>
    </w:p>
    <w:p w14:paraId="480CA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（二）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材料初审：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领导小组办公室对申报材料进行严格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的资格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审查，核实材料的真实性、完整性、规范性，对符合要求的材料予以受理；对不符合要求或存在问题的材料，一次性告知申请人补充完善。</w:t>
      </w:r>
    </w:p>
    <w:p w14:paraId="2C294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专家评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对符合申报资格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的参评人员材料，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组织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专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家评价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进行专业评价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采用无记名投票方式表决，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获得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三分之二以上同意票者视为通过。报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领导小组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进行综合评审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备案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。</w:t>
      </w:r>
    </w:p>
    <w:p w14:paraId="447FC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预选公示：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对通过专家组评价并经领导小组综合评审的参评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人员名单，在促进会官方网站发布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公示，公示期为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个工作日，开放异议举报通道，及时处理异议反馈。</w:t>
      </w:r>
    </w:p>
    <w:p w14:paraId="7DD6D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（五）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 xml:space="preserve"> 结果公告：</w:t>
      </w: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通过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公示且无其他异议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的人员名单，在促进会官方网站公告最终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结果。</w:t>
      </w:r>
    </w:p>
    <w:p w14:paraId="68733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（六）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证书发放：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领导小组办公室根据最终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名单，统一印制、验印证书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电子证书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pacing w:val="0"/>
          <w:sz w:val="32"/>
          <w:szCs w:val="32"/>
        </w:rPr>
        <w:t>，按规定发放给合格人员，同步录入查询系统。</w:t>
      </w:r>
    </w:p>
    <w:p w14:paraId="5F3A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五、证书管理</w:t>
      </w:r>
    </w:p>
    <w:p w14:paraId="7E65B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证书样式：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标注核心信息（证书名称、持证人信息、专业名称、评价等级、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评定组织、批准文号、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授予日期、发证日期、证书编号、发证单位、官方查询网址、核验二维码、公章位置）。</w:t>
      </w:r>
    </w:p>
    <w:p w14:paraId="1477B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编号规则：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采用唯一编码，格式为“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KJXCPJ+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年份+等级码+专业码+流水号”（例如：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KJXCPJ</w:t>
      </w:r>
      <w:r>
        <w:rPr>
          <w:rFonts w:hint="eastAsia" w:ascii="仿宋" w:hAnsi="仿宋" w:eastAsia="仿宋" w:cs="仿宋"/>
          <w:spacing w:val="0"/>
          <w:sz w:val="32"/>
          <w:szCs w:val="32"/>
        </w:rPr>
        <w:t>2026C-JZ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 w:cs="仿宋"/>
          <w:spacing w:val="0"/>
          <w:sz w:val="32"/>
          <w:szCs w:val="32"/>
        </w:rPr>
        <w:t>-0001，代表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科教水平评价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2026年初级建筑专业第1号证书），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KJXCPJ（科教水平评价），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等级码（C=初级、Z=中级、G=高级），专业码按参评行业划分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水平评价专业对照表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pacing w:val="0"/>
          <w:sz w:val="32"/>
          <w:szCs w:val="32"/>
        </w:rPr>
        <w:t>，流水号按年度依次递增。</w:t>
      </w:r>
    </w:p>
    <w:p w14:paraId="53B5E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 xml:space="preserve"> 查询方式：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促进会官方网站设立证书查询入口，支持姓名+身份证号、证书编号查询，扫码核验，所有证书信息永久可查、可追溯。</w:t>
      </w:r>
    </w:p>
    <w:p w14:paraId="1819E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 xml:space="preserve"> 效力边界：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本证书仅作为持证人专业技术水平的行业参考证明，可用于单位内部任用、求职加薪、技术能力背书，不得作为国家职称、职业资格证明，不得用于企业资质升级、工程项目招投标、落户、人才补贴等官方行政用途。</w:t>
      </w:r>
    </w:p>
    <w:p w14:paraId="6E778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补办规则：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证书遗失、损毁的，持证人可向领导小组办公室申请补办，提交相关证明材料，经审核通过后予以补办。</w:t>
      </w:r>
    </w:p>
    <w:p w14:paraId="03DFF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禁止条款：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证书不得伪造、变造、出租、出借、转让，一经发现，撤销其评价资格，收回证书，记入不良信用档案，且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年内不得再次申报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促进会技术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人才水平评价。</w:t>
      </w:r>
    </w:p>
    <w:p w14:paraId="6AB2C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六、工作要求与监督管理</w:t>
      </w:r>
    </w:p>
    <w:p w14:paraId="57FA2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规范操作：</w:t>
      </w: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促进会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各部门、专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家评价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组、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人才培育评价服务中心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需严格按照本办法规定开展工作，规范流程、明确职责，杜绝弄虚作假、徇私舞弊行为。</w:t>
      </w:r>
    </w:p>
    <w:p w14:paraId="735FF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专家管理：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建立专家动态管理机制，定期更新专家名单，加强对专家的培训、考核，对违反评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纪律、弄虚作假的专家，取消其评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资格，移出专家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组</w:t>
      </w:r>
      <w:r>
        <w:rPr>
          <w:rFonts w:hint="eastAsia" w:ascii="仿宋" w:hAnsi="仿宋" w:eastAsia="仿宋" w:cs="仿宋"/>
          <w:spacing w:val="0"/>
          <w:sz w:val="32"/>
          <w:szCs w:val="32"/>
        </w:rPr>
        <w:t>。</w:t>
      </w:r>
    </w:p>
    <w:p w14:paraId="6BD45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监督检查：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领导小组定期对人才评价工作进行监督检查，核查申报材料、评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流程、公示公告等情况，及时发现并纠正工作中的问题。接受民政部门、业务主管单位及社会各界的监督，主动公开评价政策、流程、标准、结果等信息。</w:t>
      </w:r>
    </w:p>
    <w:p w14:paraId="1DB13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</w:rPr>
        <w:t>申诉处理：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参评人员对初审、评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价</w:t>
      </w:r>
      <w:r>
        <w:rPr>
          <w:rFonts w:hint="eastAsia" w:ascii="仿宋" w:hAnsi="仿宋" w:eastAsia="仿宋" w:cs="仿宋"/>
          <w:spacing w:val="0"/>
          <w:sz w:val="32"/>
          <w:szCs w:val="32"/>
        </w:rPr>
        <w:t>结果有异议的，可在规定期限内向领导小组办公室提交书面申诉及相关证明材料，领导小组办公室在收到申诉后5个工作日内组织核查，作出处理决定，并将处理结果书面反馈申诉人。</w:t>
      </w:r>
    </w:p>
    <w:p w14:paraId="568DC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</w:rPr>
        <w:t>七、附则</w:t>
      </w:r>
    </w:p>
    <w:p w14:paraId="76111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本办法由四川省科教兴川促进会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技术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人才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水平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评价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领导小组办公室</w:t>
      </w:r>
      <w:bookmarkStart w:id="0" w:name="_GoBack"/>
      <w:bookmarkEnd w:id="0"/>
      <w:r>
        <w:rPr>
          <w:rFonts w:hint="eastAsia" w:ascii="仿宋" w:hAnsi="仿宋" w:eastAsia="仿宋" w:cs="仿宋"/>
          <w:spacing w:val="0"/>
          <w:sz w:val="32"/>
          <w:szCs w:val="32"/>
        </w:rPr>
        <w:t>负责解释。</w:t>
      </w:r>
    </w:p>
    <w:p w14:paraId="489D4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</w:rPr>
        <w:t>本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办法自 202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pacing w:val="0"/>
          <w:sz w:val="32"/>
          <w:szCs w:val="32"/>
        </w:rPr>
        <w:t>年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月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0"/>
          <w:sz w:val="32"/>
          <w:szCs w:val="32"/>
        </w:rPr>
        <w:t>日起施行。</w:t>
      </w:r>
    </w:p>
    <w:p w14:paraId="785FE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3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pacing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技术</w:t>
      </w:r>
      <w:r>
        <w:rPr>
          <w:rFonts w:hint="eastAsia" w:ascii="仿宋" w:hAnsi="仿宋" w:eastAsia="仿宋" w:cs="仿宋"/>
          <w:spacing w:val="0"/>
          <w:sz w:val="32"/>
          <w:szCs w:val="32"/>
        </w:rPr>
        <w:t>人才</w:t>
      </w: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水平</w:t>
      </w:r>
      <w:r>
        <w:rPr>
          <w:rFonts w:hint="eastAsia" w:ascii="仿宋" w:hAnsi="仿宋" w:eastAsia="仿宋" w:cs="仿宋"/>
          <w:spacing w:val="0"/>
          <w:sz w:val="32"/>
          <w:szCs w:val="32"/>
        </w:rPr>
        <w:t>评价工作逐月滚动进行，不再单独发布评价工作通知，参评人员可按照本办法规定，随时提交申报材料，领导小组办公室按流程组织开展评价工作。</w:t>
      </w:r>
    </w:p>
    <w:p w14:paraId="21EBE5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500" w:leftChars="0" w:firstLine="640" w:firstLineChars="200"/>
        <w:jc w:val="both"/>
        <w:textAlignment w:val="auto"/>
        <w:rPr>
          <w:rFonts w:hint="eastAsia" w:ascii="仿宋" w:hAnsi="仿宋" w:eastAsia="仿宋" w:cs="仿宋"/>
          <w:spacing w:val="0"/>
          <w:sz w:val="32"/>
          <w:szCs w:val="32"/>
        </w:rPr>
      </w:pPr>
    </w:p>
    <w:sectPr>
      <w:footerReference r:id="rId3" w:type="default"/>
      <w:pgSz w:w="11905" w:h="16840"/>
      <w:pgMar w:top="1440" w:right="1587" w:bottom="1440" w:left="1587" w:header="720" w:footer="114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BEB1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3671F2">
                          <w:pPr>
                            <w:pStyle w:val="3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3671F2">
                    <w:pPr>
                      <w:pStyle w:val="3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63EB0"/>
    <w:rsid w:val="07F341CA"/>
    <w:rsid w:val="083D5445"/>
    <w:rsid w:val="0AD025A1"/>
    <w:rsid w:val="116F4196"/>
    <w:rsid w:val="17BA0860"/>
    <w:rsid w:val="1B695C0B"/>
    <w:rsid w:val="1CC76D28"/>
    <w:rsid w:val="1DBFA7B0"/>
    <w:rsid w:val="21AD054D"/>
    <w:rsid w:val="24551420"/>
    <w:rsid w:val="2572277A"/>
    <w:rsid w:val="2ABE66C9"/>
    <w:rsid w:val="33185FE3"/>
    <w:rsid w:val="34BA37F6"/>
    <w:rsid w:val="3B1F2605"/>
    <w:rsid w:val="3BCE5DD9"/>
    <w:rsid w:val="3D6C58AA"/>
    <w:rsid w:val="3E18333B"/>
    <w:rsid w:val="424F8B7F"/>
    <w:rsid w:val="4253528A"/>
    <w:rsid w:val="44D90332"/>
    <w:rsid w:val="491F31D7"/>
    <w:rsid w:val="4EDF5937"/>
    <w:rsid w:val="56244B1C"/>
    <w:rsid w:val="56FF0986"/>
    <w:rsid w:val="59FECA7B"/>
    <w:rsid w:val="5C89392A"/>
    <w:rsid w:val="630E2DDB"/>
    <w:rsid w:val="6FC62348"/>
    <w:rsid w:val="6FE69128"/>
    <w:rsid w:val="78D629E2"/>
    <w:rsid w:val="7BB709A9"/>
    <w:rsid w:val="7CB4634A"/>
    <w:rsid w:val="7EE634EB"/>
    <w:rsid w:val="7EFA4B48"/>
    <w:rsid w:val="7F1F1B2D"/>
    <w:rsid w:val="7F7F81C2"/>
    <w:rsid w:val="7FFD0F5E"/>
    <w:rsid w:val="7FFE56EE"/>
    <w:rsid w:val="97FDF8F1"/>
    <w:rsid w:val="AD9F02D3"/>
    <w:rsid w:val="B3BBFE90"/>
    <w:rsid w:val="B77D600C"/>
    <w:rsid w:val="D67EC7C9"/>
    <w:rsid w:val="DCFF3B46"/>
    <w:rsid w:val="DD65CC0D"/>
    <w:rsid w:val="DEBFABE7"/>
    <w:rsid w:val="E6F73BF3"/>
    <w:rsid w:val="EAFF88AC"/>
    <w:rsid w:val="ED7E6A0D"/>
    <w:rsid w:val="F2FE6CEF"/>
    <w:rsid w:val="F3BF4219"/>
    <w:rsid w:val="FAE7617B"/>
    <w:rsid w:val="FCCBBA29"/>
    <w:rsid w:val="FDEDE794"/>
    <w:rsid w:val="FEFFC11B"/>
    <w:rsid w:val="FFAD795C"/>
    <w:rsid w:val="FFF467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PingFang SC" w:hAnsi="PingFang SC" w:eastAsia="PingFang SC" w:cs="PingFang SC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4491</Words>
  <Characters>4533</Characters>
  <TotalTime>70</TotalTime>
  <ScaleCrop>false</ScaleCrop>
  <LinksUpToDate>false</LinksUpToDate>
  <CharactersWithSpaces>4537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2026-04-29T03:20:00Z</dcterms:created>
  <dc:creator>Apache POI</dc:creator>
  <cp:lastModifiedBy>沁墨斋主</cp:lastModifiedBy>
  <dcterms:modified xsi:type="dcterms:W3CDTF">2026-06-25T02:00:20Z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C87FDB999A0F899E48B9ED69510D428D_43</vt:lpwstr>
  </property>
  <property fmtid="{D5CDD505-2E9C-101B-9397-08002B2CF9AE}" pid="4" name="KSOTemplateDocerSaveRecord">
    <vt:lpwstr>eyJoZGlkIjoiYTMwMzQ3MzRiNTQ5MWE1NjgzYThiZjU1ZTg4YjM1ODUiLCJ1c2VySWQiOiIxMzMwODA3Mzc2In0=</vt:lpwstr>
  </property>
</Properties>
</file>